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9736EC" w:rsidRDefault="00EE1B31">
      <w:pPr>
        <w:jc w:val="left"/>
      </w:pPr>
      <w:r>
        <w:rPr>
          <w:b/>
        </w:rPr>
        <w:t>Ma.ak020</w:t>
      </w:r>
      <w:r>
        <w:t>:</w:t>
      </w:r>
    </w:p>
    <w:p w14:paraId="00000006" w14:textId="77777777" w:rsidR="009736EC" w:rsidRDefault="00EE1B31">
      <w:pPr>
        <w:jc w:val="left"/>
      </w:pPr>
      <w:r>
        <w:t>Ma.ak020 is een samenwerking tussen de gemeente Amsterdam en een veelheid van maatschappelijke partijen, gericht op het tot stand brengen van een Maatschappelijk Akkoord tussen de zogenoemde AA-partners (partners in de Amsterdam Approach, met hun wortels i</w:t>
      </w:r>
      <w:r>
        <w:t>n de ‘</w:t>
      </w:r>
      <w:proofErr w:type="spellStart"/>
      <w:r>
        <w:t>pentahelix</w:t>
      </w:r>
      <w:proofErr w:type="spellEnd"/>
      <w:r>
        <w:t>’) en de gemeente.</w:t>
      </w:r>
    </w:p>
    <w:p w14:paraId="00000007" w14:textId="77777777" w:rsidR="009736EC" w:rsidRDefault="00EE1B31">
      <w:pPr>
        <w:pBdr>
          <w:top w:val="nil"/>
          <w:left w:val="nil"/>
          <w:bottom w:val="nil"/>
          <w:right w:val="nil"/>
          <w:between w:val="nil"/>
        </w:pBdr>
        <w:ind w:left="405" w:hanging="720"/>
        <w:jc w:val="left"/>
        <w:rPr>
          <w:color w:val="000000"/>
        </w:rPr>
      </w:pPr>
      <w:r>
        <w:rPr>
          <w:color w:val="000000"/>
        </w:rPr>
        <w:t> </w:t>
      </w:r>
    </w:p>
    <w:p w14:paraId="00000008" w14:textId="77777777" w:rsidR="009736EC" w:rsidRDefault="00EE1B31">
      <w:pPr>
        <w:jc w:val="left"/>
      </w:pPr>
      <w:r>
        <w:t>Het doel van Ma.ak020 is het werken aan/formuleren van uitgangspunten, voorwaarden en afspraken voor een “inclusieve, gezonde, eerlijke en initiatiefrijke stad”.</w:t>
      </w:r>
    </w:p>
    <w:p w14:paraId="00000009" w14:textId="77777777" w:rsidR="009736EC" w:rsidRDefault="00EE1B31">
      <w:pPr>
        <w:jc w:val="left"/>
      </w:pPr>
      <w:r>
        <w:t> </w:t>
      </w:r>
    </w:p>
    <w:p w14:paraId="0000000A" w14:textId="77777777" w:rsidR="009736EC" w:rsidRDefault="00EE1B31">
      <w:pPr>
        <w:jc w:val="left"/>
      </w:pPr>
      <w:r>
        <w:t>Om tot een Maatschappelijk Akkoord te komen zijn 6 them</w:t>
      </w:r>
      <w:r>
        <w:t>a’s benoemd. Eén van de thema’s is “energie en duurzaamheid”. Onder dat thema wordt een aantal ‘tafels’ georganiseerd, waaraan het werk geschiedt. Wat hieronder volgt, betreft de tafel “energie en mandaat”.</w:t>
      </w:r>
    </w:p>
    <w:p w14:paraId="0000000B" w14:textId="77777777" w:rsidR="009736EC" w:rsidRDefault="00EE1B31">
      <w:pPr>
        <w:jc w:val="left"/>
      </w:pPr>
      <w:r>
        <w:t> </w:t>
      </w:r>
    </w:p>
    <w:p w14:paraId="0000000C" w14:textId="77777777" w:rsidR="009736EC" w:rsidRDefault="00EE1B31">
      <w:pPr>
        <w:jc w:val="left"/>
      </w:pPr>
      <w:r>
        <w:t xml:space="preserve">De ‘tafel’ is voorbereid door Thomas </w:t>
      </w:r>
      <w:proofErr w:type="spellStart"/>
      <w:r>
        <w:t>Vernooij</w:t>
      </w:r>
      <w:proofErr w:type="spellEnd"/>
      <w:r>
        <w:t xml:space="preserve">, </w:t>
      </w:r>
      <w:r>
        <w:t>Pauline Westendorp en Maartje Romme</w:t>
      </w:r>
    </w:p>
    <w:p w14:paraId="0000000D" w14:textId="77777777" w:rsidR="009736EC" w:rsidRDefault="00EE1B31">
      <w:pPr>
        <w:jc w:val="left"/>
      </w:pPr>
      <w:r>
        <w:t> </w:t>
      </w:r>
    </w:p>
    <w:p w14:paraId="0000000E" w14:textId="77777777" w:rsidR="009736EC" w:rsidRDefault="00EE1B31">
      <w:pPr>
        <w:jc w:val="left"/>
      </w:pPr>
      <w:r>
        <w:rPr>
          <w:b/>
        </w:rPr>
        <w:t>Uitgangspunten voor het werk</w:t>
      </w:r>
      <w:r>
        <w:t>:</w:t>
      </w:r>
    </w:p>
    <w:p w14:paraId="0000000F" w14:textId="77777777" w:rsidR="009736EC" w:rsidRDefault="00EE1B31">
      <w:pPr>
        <w:numPr>
          <w:ilvl w:val="0"/>
          <w:numId w:val="4"/>
        </w:numPr>
        <w:jc w:val="left"/>
      </w:pPr>
      <w:r>
        <w:t>Het doel van Ma.ak020 is een stap in het Amsterdamse verduurzamingsproces;</w:t>
      </w:r>
    </w:p>
    <w:p w14:paraId="00000010" w14:textId="77777777" w:rsidR="009736EC" w:rsidRDefault="00EE1B31">
      <w:pPr>
        <w:numPr>
          <w:ilvl w:val="0"/>
          <w:numId w:val="4"/>
        </w:numPr>
        <w:jc w:val="left"/>
      </w:pPr>
      <w:r>
        <w:t>Duurzaamheid (lees: ‘integrale duurzaamheid’: evenwicht van alles met alles) is als punt op de horizon richtingge</w:t>
      </w:r>
      <w:r>
        <w:t>vend voor de gedachtevorming van Ma.ak020;</w:t>
      </w:r>
    </w:p>
    <w:p w14:paraId="00000011" w14:textId="77777777" w:rsidR="009736EC" w:rsidRDefault="00EE1B31">
      <w:pPr>
        <w:numPr>
          <w:ilvl w:val="0"/>
          <w:numId w:val="4"/>
        </w:numPr>
        <w:jc w:val="left"/>
      </w:pPr>
      <w:bookmarkStart w:id="0" w:name="_gjdgxs" w:colFirst="0" w:colLast="0"/>
      <w:bookmarkEnd w:id="0"/>
      <w:r>
        <w:t xml:space="preserve">Integrale duurzaamheid kent (ten minste) 4 grote deelgebieden: </w:t>
      </w:r>
    </w:p>
    <w:p w14:paraId="00000012" w14:textId="77777777" w:rsidR="009736EC" w:rsidRDefault="00EE1B31">
      <w:pPr>
        <w:numPr>
          <w:ilvl w:val="1"/>
          <w:numId w:val="4"/>
        </w:numPr>
        <w:jc w:val="left"/>
      </w:pPr>
      <w:r>
        <w:t>Ecologische duurzaamheid: richt zich op een gezonde fysieke omgeving</w:t>
      </w:r>
    </w:p>
    <w:p w14:paraId="00000013" w14:textId="77777777" w:rsidR="009736EC" w:rsidRDefault="00EE1B31">
      <w:pPr>
        <w:numPr>
          <w:ilvl w:val="1"/>
          <w:numId w:val="4"/>
        </w:numPr>
        <w:jc w:val="left"/>
      </w:pPr>
      <w:r>
        <w:t>Economische duurzaamheid: richt zich op samenwerking in een kringloopeconomie (</w:t>
      </w:r>
      <w:proofErr w:type="spellStart"/>
      <w:r>
        <w:t>i</w:t>
      </w:r>
      <w:r>
        <w:t>pv</w:t>
      </w:r>
      <w:proofErr w:type="spellEnd"/>
      <w:r>
        <w:t xml:space="preserve"> concurrentie in een </w:t>
      </w:r>
      <w:proofErr w:type="spellStart"/>
      <w:r>
        <w:t>groeieconomie</w:t>
      </w:r>
      <w:proofErr w:type="spellEnd"/>
      <w:r>
        <w:t>)</w:t>
      </w:r>
    </w:p>
    <w:p w14:paraId="00000014" w14:textId="77777777" w:rsidR="009736EC" w:rsidRDefault="00EE1B31">
      <w:pPr>
        <w:numPr>
          <w:ilvl w:val="1"/>
          <w:numId w:val="4"/>
        </w:numPr>
        <w:jc w:val="left"/>
      </w:pPr>
      <w:r>
        <w:t>Sociale duurzaamheid: richt zich op een gezonde samenhang in de samenleving, waarin samenleven ook werkelijk samen leven betekent;</w:t>
      </w:r>
    </w:p>
    <w:p w14:paraId="00000015" w14:textId="77777777" w:rsidR="009736EC" w:rsidRDefault="00EE1B31">
      <w:pPr>
        <w:numPr>
          <w:ilvl w:val="1"/>
          <w:numId w:val="4"/>
        </w:numPr>
        <w:jc w:val="left"/>
      </w:pPr>
      <w:r>
        <w:t xml:space="preserve">Bestuurlijke duurzaamheid: richt zich op </w:t>
      </w:r>
      <w:r>
        <w:t>een eerlijke verdeling van de bestuurlijke macht en op gelijkwaardigheid van alle betrokkenen gedurende alle fases van processen.</w:t>
      </w:r>
    </w:p>
    <w:p w14:paraId="00000016" w14:textId="77777777" w:rsidR="009736EC" w:rsidRDefault="00EE1B3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</w:pPr>
      <w:r>
        <w:t>Voor (integrale) duurzaamheid moet aan de eisen van alle 4 de deelgebieden zijn en worden voldaan.</w:t>
      </w:r>
    </w:p>
    <w:p w14:paraId="00000017" w14:textId="77777777" w:rsidR="009736EC" w:rsidRDefault="00EE1B31">
      <w:pPr>
        <w:numPr>
          <w:ilvl w:val="0"/>
          <w:numId w:val="5"/>
        </w:numPr>
        <w:jc w:val="left"/>
      </w:pPr>
      <w:r>
        <w:t>Aan de tafel ‘Energie en ma</w:t>
      </w:r>
      <w:r>
        <w:t>ndaat’ gaat het om de vraag naar de bestuurlijke organisatie van het proces van energetische verduurzaming;</w:t>
      </w:r>
    </w:p>
    <w:p w14:paraId="00000018" w14:textId="77777777" w:rsidR="009736EC" w:rsidRDefault="00EE1B31">
      <w:pPr>
        <w:numPr>
          <w:ilvl w:val="0"/>
          <w:numId w:val="5"/>
        </w:numPr>
        <w:jc w:val="left"/>
      </w:pPr>
      <w:r>
        <w:t xml:space="preserve">Die bestuurlijke organisatie (ook wel </w:t>
      </w:r>
      <w:proofErr w:type="spellStart"/>
      <w:r>
        <w:t>governance</w:t>
      </w:r>
      <w:proofErr w:type="spellEnd"/>
      <w:r>
        <w:t xml:space="preserve"> genoemd) dient vanzelfsprekend te voldoen aan de eisen van bestuurlijke duurzaamheid (zie hierboven</w:t>
      </w:r>
      <w:r>
        <w:t>);</w:t>
      </w:r>
    </w:p>
    <w:p w14:paraId="00000019" w14:textId="77777777" w:rsidR="009736EC" w:rsidRDefault="00EE1B3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left"/>
      </w:pPr>
      <w:r>
        <w:t> </w:t>
      </w:r>
    </w:p>
    <w:p w14:paraId="0000001A" w14:textId="77777777" w:rsidR="009736EC" w:rsidRDefault="00EE1B31">
      <w:pPr>
        <w:jc w:val="left"/>
      </w:pPr>
      <w:r>
        <w:rPr>
          <w:b/>
        </w:rPr>
        <w:t>De vraag aan de tafel ‘energie en mandaat’</w:t>
      </w:r>
      <w:r>
        <w:t>:</w:t>
      </w:r>
    </w:p>
    <w:p w14:paraId="0000001B" w14:textId="77777777" w:rsidR="009736EC" w:rsidRDefault="00EE1B31">
      <w:pPr>
        <w:jc w:val="left"/>
      </w:pPr>
      <w:r>
        <w:t>Uit het voorgaande volgt de voorliggende vraag: hoe organiseer je de energetische verduurzaming, op basis van gelijkwaardigheid van alle betrokkenen (belanghebbenden), en een eerlijke verdeling van de bestuu</w:t>
      </w:r>
      <w:r>
        <w:t>rlijke macht?</w:t>
      </w:r>
    </w:p>
    <w:p w14:paraId="0000001C" w14:textId="77777777" w:rsidR="009736EC" w:rsidRDefault="00EE1B31">
      <w:pPr>
        <w:jc w:val="left"/>
      </w:pPr>
      <w:bookmarkStart w:id="1" w:name="_GoBack"/>
      <w:bookmarkEnd w:id="1"/>
      <w:r>
        <w:t>De tafel zal zich niet buigen over technologische oplossingen, maar over het besluitvormingsproces met betrekking tot energetische verduurzaming.</w:t>
      </w:r>
    </w:p>
    <w:p w14:paraId="0000001D" w14:textId="77777777" w:rsidR="009736EC" w:rsidRDefault="00EE1B31">
      <w:pPr>
        <w:jc w:val="left"/>
      </w:pPr>
      <w:r>
        <w:t> </w:t>
      </w:r>
    </w:p>
    <w:p w14:paraId="0000001E" w14:textId="77777777" w:rsidR="009736EC" w:rsidRDefault="00EE1B31">
      <w:pPr>
        <w:jc w:val="left"/>
      </w:pPr>
      <w:r>
        <w:rPr>
          <w:b/>
        </w:rPr>
        <w:t>Bestuurlijk mandaat:</w:t>
      </w:r>
    </w:p>
    <w:p w14:paraId="0000001F" w14:textId="77777777" w:rsidR="009736EC" w:rsidRDefault="00EE1B31">
      <w:pPr>
        <w:jc w:val="left"/>
      </w:pPr>
      <w:r>
        <w:t>Regulier:</w:t>
      </w:r>
    </w:p>
    <w:p w14:paraId="00000020" w14:textId="77777777" w:rsidR="009736EC" w:rsidRDefault="00EE1B31">
      <w:pPr>
        <w:numPr>
          <w:ilvl w:val="0"/>
          <w:numId w:val="1"/>
        </w:numPr>
        <w:jc w:val="left"/>
      </w:pPr>
      <w:r>
        <w:t>Het gemeentebestuur (gemeenteraad) heeft de beslissingsbevoegdh</w:t>
      </w:r>
      <w:r>
        <w:t>eid over zaken die de gemeente betreffen, met een democratisch mandaat op basis van verkiezingen;</w:t>
      </w:r>
    </w:p>
    <w:p w14:paraId="00000021" w14:textId="77777777" w:rsidR="009736EC" w:rsidRDefault="00EE1B31">
      <w:pPr>
        <w:numPr>
          <w:ilvl w:val="0"/>
          <w:numId w:val="1"/>
        </w:numPr>
        <w:jc w:val="left"/>
      </w:pPr>
      <w:r>
        <w:t>Bij ‘participatie’ organiseert de gemeente het participatieproces, waarin andere belanghebbenden hun inzichten kunnen inbrengen;</w:t>
      </w:r>
    </w:p>
    <w:p w14:paraId="00000022" w14:textId="77777777" w:rsidR="009736EC" w:rsidRDefault="00EE1B31">
      <w:pPr>
        <w:numPr>
          <w:ilvl w:val="0"/>
          <w:numId w:val="1"/>
        </w:numPr>
        <w:jc w:val="left"/>
      </w:pPr>
      <w:r>
        <w:t>Het bestuur verzamelt de inzi</w:t>
      </w:r>
      <w:r>
        <w:t>chten en neemt naar eigen goeddunken de uiteindelijke besluiten;</w:t>
      </w:r>
    </w:p>
    <w:p w14:paraId="00000023" w14:textId="77777777" w:rsidR="009736EC" w:rsidRDefault="00EE1B31">
      <w:pPr>
        <w:numPr>
          <w:ilvl w:val="0"/>
          <w:numId w:val="1"/>
        </w:numPr>
        <w:jc w:val="left"/>
      </w:pPr>
      <w:r>
        <w:t>Bezwaar- en beroepsprocedures staan open.</w:t>
      </w:r>
    </w:p>
    <w:p w14:paraId="00000024" w14:textId="77777777" w:rsidR="009736EC" w:rsidRDefault="00EE1B31">
      <w:pPr>
        <w:jc w:val="left"/>
      </w:pPr>
      <w:r>
        <w:lastRenderedPageBreak/>
        <w:t> </w:t>
      </w:r>
    </w:p>
    <w:p w14:paraId="00000025" w14:textId="77777777" w:rsidR="009736EC" w:rsidRDefault="00EE1B31">
      <w:pPr>
        <w:jc w:val="left"/>
      </w:pPr>
      <w:r>
        <w:t>Weteringbuurt: zoveel mogelijk zeggenschap in de eigen leefomgeving:</w:t>
      </w:r>
    </w:p>
    <w:p w14:paraId="00000026" w14:textId="77777777" w:rsidR="009736EC" w:rsidRDefault="00EE1B31">
      <w:pPr>
        <w:numPr>
          <w:ilvl w:val="0"/>
          <w:numId w:val="2"/>
        </w:numPr>
        <w:jc w:val="left"/>
      </w:pPr>
      <w:r>
        <w:t>Het gemeentebestuur (gemeenteraad) heeft de beslissingsbevoegdheid over zaken die de gemeente betreffen, met een democratisch mandaat op basis van verkiezingen;</w:t>
      </w:r>
    </w:p>
    <w:p w14:paraId="00000027" w14:textId="77777777" w:rsidR="009736EC" w:rsidRDefault="00EE1B31">
      <w:pPr>
        <w:numPr>
          <w:ilvl w:val="0"/>
          <w:numId w:val="2"/>
        </w:numPr>
        <w:jc w:val="left"/>
      </w:pPr>
      <w:r>
        <w:t>Bij bottom-up processen wordt een procesgroep samengesteld, bestaande uit vertegenwoordigers van alle belanghebbende partijen;</w:t>
      </w:r>
    </w:p>
    <w:p w14:paraId="00000028" w14:textId="77777777" w:rsidR="009736EC" w:rsidRDefault="00EE1B31">
      <w:pPr>
        <w:numPr>
          <w:ilvl w:val="0"/>
          <w:numId w:val="2"/>
        </w:numPr>
        <w:jc w:val="left"/>
      </w:pPr>
      <w:r>
        <w:t>De procesgroep organiseert het besluitvormingsproces:</w:t>
      </w:r>
    </w:p>
    <w:p w14:paraId="00000029" w14:textId="77777777" w:rsidR="009736EC" w:rsidRDefault="00EE1B31">
      <w:pPr>
        <w:numPr>
          <w:ilvl w:val="1"/>
          <w:numId w:val="2"/>
        </w:numPr>
        <w:jc w:val="left"/>
      </w:pPr>
      <w:r>
        <w:t>Definieert de randvoorwaarden;</w:t>
      </w:r>
    </w:p>
    <w:p w14:paraId="0000002A" w14:textId="77777777" w:rsidR="009736EC" w:rsidRDefault="00EE1B31">
      <w:pPr>
        <w:numPr>
          <w:ilvl w:val="1"/>
          <w:numId w:val="2"/>
        </w:numPr>
        <w:jc w:val="left"/>
      </w:pPr>
      <w:r>
        <w:t>Definieert de ‘kring van belanghebbenden’ (d</w:t>
      </w:r>
      <w:r>
        <w:t>e consentgroep);</w:t>
      </w:r>
    </w:p>
    <w:p w14:paraId="0000002B" w14:textId="77777777" w:rsidR="009736EC" w:rsidRDefault="00EE1B31">
      <w:pPr>
        <w:numPr>
          <w:ilvl w:val="1"/>
          <w:numId w:val="2"/>
        </w:numPr>
        <w:jc w:val="left"/>
      </w:pPr>
      <w:r>
        <w:t>Zorgt voor de praktische voortgang.</w:t>
      </w:r>
    </w:p>
    <w:p w14:paraId="0000002C" w14:textId="77777777" w:rsidR="009736EC" w:rsidRDefault="00EE1B31">
      <w:pPr>
        <w:numPr>
          <w:ilvl w:val="0"/>
          <w:numId w:val="2"/>
        </w:numPr>
        <w:jc w:val="left"/>
      </w:pPr>
      <w:r>
        <w:t>De ‘consentgroep’ buigt zich over de inhoud en neemt deel aan het besluitvormingsproces tot en met het besluit;</w:t>
      </w:r>
    </w:p>
    <w:p w14:paraId="0000002D" w14:textId="77777777" w:rsidR="009736EC" w:rsidRDefault="00EE1B31">
      <w:pPr>
        <w:numPr>
          <w:ilvl w:val="0"/>
          <w:numId w:val="2"/>
        </w:numPr>
        <w:jc w:val="left"/>
      </w:pPr>
      <w:r>
        <w:t>Een consentbesluit wordt genomen op basis van ‘alle stemmen gelden’ (en dus niet ‘meeste st</w:t>
      </w:r>
      <w:r>
        <w:t>emmen gelden’);</w:t>
      </w:r>
    </w:p>
    <w:p w14:paraId="0000002E" w14:textId="77777777" w:rsidR="009736EC" w:rsidRDefault="00EE1B31">
      <w:pPr>
        <w:numPr>
          <w:ilvl w:val="0"/>
          <w:numId w:val="2"/>
        </w:numPr>
        <w:jc w:val="left"/>
      </w:pPr>
      <w:r>
        <w:t>Een consentproces dwingt de deelnemers tot luisteren en tot respect voor elkaar;</w:t>
      </w:r>
    </w:p>
    <w:p w14:paraId="0000002F" w14:textId="77777777" w:rsidR="009736EC" w:rsidRDefault="00EE1B31">
      <w:pPr>
        <w:numPr>
          <w:ilvl w:val="0"/>
          <w:numId w:val="2"/>
        </w:numPr>
        <w:jc w:val="left"/>
      </w:pPr>
      <w:r>
        <w:t>Bij ‘consent’ van de consentgroep neemt het gemeentebestuur de ‘consentbeslissing’ over;</w:t>
      </w:r>
    </w:p>
    <w:p w14:paraId="00000030" w14:textId="77777777" w:rsidR="009736EC" w:rsidRDefault="00EE1B31">
      <w:pPr>
        <w:numPr>
          <w:ilvl w:val="0"/>
          <w:numId w:val="2"/>
        </w:numPr>
        <w:jc w:val="left"/>
      </w:pPr>
      <w:r>
        <w:t>Indien er geen ‘consent’ komt neemt het gemeentebestuur alsnog de voor</w:t>
      </w:r>
      <w:r>
        <w:t>liggende beslissing;</w:t>
      </w:r>
    </w:p>
    <w:p w14:paraId="00000031" w14:textId="77777777" w:rsidR="009736EC" w:rsidRDefault="00EE1B31">
      <w:pPr>
        <w:numPr>
          <w:ilvl w:val="0"/>
          <w:numId w:val="2"/>
        </w:numPr>
        <w:jc w:val="left"/>
      </w:pPr>
      <w:r>
        <w:t xml:space="preserve">Bezwaar- en beroepsprocedures staan ook na een consentbeslissing open, maar…. </w:t>
      </w:r>
    </w:p>
    <w:p w14:paraId="00000032" w14:textId="77777777" w:rsidR="009736EC" w:rsidRDefault="00EE1B31">
      <w:pPr>
        <w:numPr>
          <w:ilvl w:val="1"/>
          <w:numId w:val="2"/>
        </w:numPr>
        <w:jc w:val="left"/>
      </w:pPr>
      <w:r>
        <w:t xml:space="preserve">Bij bezwaar en/of beroep moet je aantonen dat het een ‘nieuw punt’ betreft en dat je niet eerder in staat bent gesteld om dat punt in het consentproces aan </w:t>
      </w:r>
      <w:r>
        <w:t>de orde te brengen;</w:t>
      </w:r>
    </w:p>
    <w:p w14:paraId="00000033" w14:textId="77777777" w:rsidR="009736EC" w:rsidRDefault="00EE1B31">
      <w:pPr>
        <w:numPr>
          <w:ilvl w:val="1"/>
          <w:numId w:val="2"/>
        </w:numPr>
        <w:jc w:val="left"/>
      </w:pPr>
      <w:r>
        <w:t>Indien een punt al in het consentproces aan de orde is geweest blijft de consentbeslissing gehandhaafd.</w:t>
      </w:r>
    </w:p>
    <w:p w14:paraId="00000034" w14:textId="77777777" w:rsidR="009736EC" w:rsidRDefault="00EE1B31">
      <w:pPr>
        <w:jc w:val="left"/>
      </w:pPr>
      <w:r>
        <w:t> </w:t>
      </w:r>
    </w:p>
    <w:p w14:paraId="00000035" w14:textId="77777777" w:rsidR="009736EC" w:rsidRDefault="00EE1B31">
      <w:pPr>
        <w:jc w:val="left"/>
      </w:pPr>
      <w:r>
        <w:rPr>
          <w:b/>
        </w:rPr>
        <w:t>Energie en mandaat</w:t>
      </w:r>
      <w:r>
        <w:t>:</w:t>
      </w:r>
    </w:p>
    <w:p w14:paraId="00000036" w14:textId="77777777" w:rsidR="009736EC" w:rsidRDefault="00EE1B31">
      <w:pPr>
        <w:numPr>
          <w:ilvl w:val="0"/>
          <w:numId w:val="3"/>
        </w:numPr>
        <w:jc w:val="left"/>
      </w:pPr>
      <w:r>
        <w:t>Is het consentproces als gedachtengoed te gebruiken in het proces van energetische verduurzaming?</w:t>
      </w:r>
    </w:p>
    <w:p w14:paraId="00000037" w14:textId="77777777" w:rsidR="009736EC" w:rsidRDefault="00EE1B31">
      <w:pPr>
        <w:numPr>
          <w:ilvl w:val="0"/>
          <w:numId w:val="3"/>
        </w:numPr>
        <w:jc w:val="left"/>
      </w:pPr>
      <w:r>
        <w:t>Waar behoeft</w:t>
      </w:r>
      <w:r>
        <w:t xml:space="preserve"> het consentproces hierbij aanvullingen/wijzigingen?</w:t>
      </w:r>
    </w:p>
    <w:p w14:paraId="00000038" w14:textId="77777777" w:rsidR="009736EC" w:rsidRDefault="00EE1B31">
      <w:pPr>
        <w:numPr>
          <w:ilvl w:val="0"/>
          <w:numId w:val="3"/>
        </w:numPr>
        <w:jc w:val="left"/>
      </w:pPr>
      <w:r>
        <w:t>Wat zijn de hobbels en valkuilen?</w:t>
      </w:r>
    </w:p>
    <w:p w14:paraId="00000039" w14:textId="77777777" w:rsidR="009736EC" w:rsidRDefault="00EE1B31">
      <w:pPr>
        <w:numPr>
          <w:ilvl w:val="0"/>
          <w:numId w:val="3"/>
        </w:numPr>
        <w:jc w:val="left"/>
      </w:pPr>
      <w:r>
        <w:t>Hoe kunnen we die oplossen en wat en wie zijn daar bij nodig?</w:t>
      </w:r>
    </w:p>
    <w:p w14:paraId="0000003A" w14:textId="77777777" w:rsidR="009736EC" w:rsidRDefault="00EE1B31">
      <w:pPr>
        <w:numPr>
          <w:ilvl w:val="0"/>
          <w:numId w:val="3"/>
        </w:numPr>
        <w:jc w:val="left"/>
      </w:pPr>
      <w:r>
        <w:t>Waar kunnen we in Amsterdam in het kader van een ‘experiment’ beginnen?</w:t>
      </w:r>
    </w:p>
    <w:p w14:paraId="0000003B" w14:textId="77777777" w:rsidR="009736EC" w:rsidRDefault="009736EC"/>
    <w:sectPr w:rsidR="009736E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44B0"/>
    <w:multiLevelType w:val="multilevel"/>
    <w:tmpl w:val="94503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A625B6"/>
    <w:multiLevelType w:val="multilevel"/>
    <w:tmpl w:val="E6BEC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6740F4A"/>
    <w:multiLevelType w:val="multilevel"/>
    <w:tmpl w:val="9B547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BE10A0C"/>
    <w:multiLevelType w:val="multilevel"/>
    <w:tmpl w:val="3C480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18E28B3"/>
    <w:multiLevelType w:val="multilevel"/>
    <w:tmpl w:val="41085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EC"/>
    <w:rsid w:val="009736EC"/>
    <w:rsid w:val="00E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44C7"/>
  <w15:docId w15:val="{791E1C2A-6086-4C4D-8D6E-B563962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Snel</dc:creator>
  <cp:lastModifiedBy>Louise Snel</cp:lastModifiedBy>
  <cp:revision>2</cp:revision>
  <dcterms:created xsi:type="dcterms:W3CDTF">2019-05-14T07:50:00Z</dcterms:created>
  <dcterms:modified xsi:type="dcterms:W3CDTF">2019-05-14T07:50:00Z</dcterms:modified>
</cp:coreProperties>
</file>